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91" w:rsidRDefault="00C82691" w:rsidP="00753703">
      <w:bookmarkStart w:id="0" w:name="_GoBack"/>
      <w:bookmarkEnd w:id="0"/>
    </w:p>
    <w:p w:rsidR="00C82691" w:rsidRDefault="00C82691" w:rsidP="00753703"/>
    <w:p w:rsidR="007E6DD1" w:rsidRPr="00B80467" w:rsidRDefault="00753703" w:rsidP="00E7195D">
      <w:pPr>
        <w:spacing w:line="360" w:lineRule="auto"/>
        <w:jc w:val="center"/>
        <w:rPr>
          <w:b/>
          <w:sz w:val="28"/>
          <w:szCs w:val="28"/>
        </w:rPr>
      </w:pPr>
      <w:r w:rsidRPr="00B80467">
        <w:rPr>
          <w:b/>
          <w:sz w:val="28"/>
          <w:szCs w:val="28"/>
        </w:rPr>
        <w:t xml:space="preserve">PREPORUKE ZA DOZIRANJE KANABINOIDA SUKLADNO SMJERNICAMA </w:t>
      </w:r>
    </w:p>
    <w:p w:rsidR="00753703" w:rsidRPr="00B80467" w:rsidRDefault="00753703" w:rsidP="00E7195D">
      <w:pPr>
        <w:spacing w:line="360" w:lineRule="auto"/>
        <w:jc w:val="center"/>
        <w:rPr>
          <w:b/>
          <w:sz w:val="28"/>
          <w:szCs w:val="28"/>
        </w:rPr>
      </w:pPr>
      <w:r w:rsidRPr="00B80467">
        <w:rPr>
          <w:b/>
          <w:sz w:val="28"/>
          <w:szCs w:val="28"/>
        </w:rPr>
        <w:t>MINISTARSTVA</w:t>
      </w:r>
      <w:r w:rsidR="00E10B3E">
        <w:rPr>
          <w:b/>
          <w:sz w:val="28"/>
          <w:szCs w:val="28"/>
        </w:rPr>
        <w:t xml:space="preserve"> </w:t>
      </w:r>
      <w:r w:rsidR="002F2432" w:rsidRPr="00B80467">
        <w:rPr>
          <w:b/>
          <w:sz w:val="28"/>
          <w:szCs w:val="28"/>
        </w:rPr>
        <w:t xml:space="preserve">ZDRAVSTVA </w:t>
      </w:r>
      <w:r w:rsidRPr="00B80467">
        <w:rPr>
          <w:b/>
          <w:sz w:val="28"/>
          <w:szCs w:val="28"/>
        </w:rPr>
        <w:t>REPUBLIKE HRVATSKE</w:t>
      </w:r>
    </w:p>
    <w:p w:rsidR="00C82691" w:rsidRPr="00B80467" w:rsidRDefault="00C82691" w:rsidP="00753703">
      <w:pPr>
        <w:rPr>
          <w:sz w:val="28"/>
          <w:szCs w:val="28"/>
        </w:rPr>
      </w:pPr>
    </w:p>
    <w:p w:rsidR="00C82691" w:rsidRPr="00B80467" w:rsidRDefault="00C82691" w:rsidP="00753703">
      <w:pPr>
        <w:rPr>
          <w:sz w:val="28"/>
          <w:szCs w:val="28"/>
        </w:rPr>
      </w:pPr>
    </w:p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753703" w:rsidRPr="00E7195D" w:rsidRDefault="00753703" w:rsidP="00753703">
      <w:pPr>
        <w:rPr>
          <w:b/>
        </w:rPr>
      </w:pPr>
      <w:r w:rsidRPr="00E7195D">
        <w:rPr>
          <w:b/>
        </w:rPr>
        <w:t>Prof.dr.sc. Vladimir Trkulja</w:t>
      </w:r>
    </w:p>
    <w:p w:rsidR="00753703" w:rsidRDefault="00753703" w:rsidP="00753703">
      <w:r>
        <w:t>Profesor farmakologije</w:t>
      </w:r>
    </w:p>
    <w:p w:rsidR="00753703" w:rsidRDefault="00753703" w:rsidP="00753703">
      <w:r>
        <w:t>Zavod za farmakologiju Medicinskog fakulteta Sveučilišta u Zagrebu</w:t>
      </w:r>
    </w:p>
    <w:p w:rsidR="00753703" w:rsidRDefault="00753703" w:rsidP="00753703">
      <w:r>
        <w:t>Šalata 11, 10000 Zagreb</w:t>
      </w:r>
    </w:p>
    <w:p w:rsidR="00E10B3E" w:rsidRDefault="0012100B" w:rsidP="00753703">
      <w:hyperlink r:id="rId8" w:history="1">
        <w:r w:rsidR="00E10B3E" w:rsidRPr="00F93DE3">
          <w:rPr>
            <w:rStyle w:val="Hiperveza"/>
          </w:rPr>
          <w:t>vtrkulja@mef.hr</w:t>
        </w:r>
      </w:hyperlink>
      <w:r w:rsidR="00E10B3E">
        <w:t xml:space="preserve"> </w:t>
      </w:r>
    </w:p>
    <w:p w:rsidR="00C82691" w:rsidRDefault="00E10B3E" w:rsidP="00753703">
      <w:r>
        <w:t>Svibanj</w:t>
      </w:r>
      <w:r w:rsidR="00753703">
        <w:t xml:space="preserve"> </w:t>
      </w:r>
      <w:r>
        <w:t>2019</w:t>
      </w:r>
      <w:r w:rsidR="00753703">
        <w:t>.g.</w:t>
      </w:r>
    </w:p>
    <w:p w:rsidR="00753703" w:rsidRPr="00E10B3E" w:rsidRDefault="00753703" w:rsidP="00753703">
      <w:pPr>
        <w:rPr>
          <w:b/>
          <w:sz w:val="24"/>
          <w:szCs w:val="24"/>
        </w:rPr>
      </w:pPr>
      <w:r w:rsidRPr="00E10B3E">
        <w:rPr>
          <w:b/>
          <w:sz w:val="24"/>
          <w:szCs w:val="24"/>
        </w:rPr>
        <w:t>Sadržaj</w:t>
      </w:r>
    </w:p>
    <w:p w:rsidR="00753703" w:rsidRDefault="00E7195D" w:rsidP="00753703">
      <w:r>
        <w:t>1. Opće napomene</w:t>
      </w:r>
      <w:r w:rsidR="00582410">
        <w:t xml:space="preserve"> ………………………………………………………………………………………………………………………....   2</w:t>
      </w:r>
    </w:p>
    <w:p w:rsidR="00753703" w:rsidRDefault="00E7195D" w:rsidP="00753703">
      <w:r>
        <w:t>1.1. Opis pripravka</w:t>
      </w:r>
      <w:r w:rsidR="00582410">
        <w:t xml:space="preserve"> …………………………………………………………………………………………………………………………..  2</w:t>
      </w:r>
    </w:p>
    <w:p w:rsidR="00753703" w:rsidRDefault="00E7195D" w:rsidP="00753703">
      <w:r>
        <w:t>1.2. Opća načela primjene</w:t>
      </w:r>
      <w:r w:rsidR="00582410">
        <w:t xml:space="preserve"> ……………………………………………………………………………………………………………….  2</w:t>
      </w:r>
    </w:p>
    <w:p w:rsidR="00753703" w:rsidRDefault="00753703" w:rsidP="00753703">
      <w:r>
        <w:t>2. Doziranje u bolesnika s multiplom sklerozom (spasticitet, neuropatska bol/bol centralnog porijekla, bolni mišićni spazmi</w:t>
      </w:r>
      <w:r w:rsidR="00E7195D">
        <w:t>, hiperaktivni mokraćni mjehur)</w:t>
      </w:r>
      <w:r w:rsidR="00582410">
        <w:t xml:space="preserve"> ……………………………………………………………………….. 4</w:t>
      </w:r>
    </w:p>
    <w:p w:rsidR="00753703" w:rsidRDefault="00753703" w:rsidP="00753703">
      <w:r>
        <w:t xml:space="preserve">3. Doziranje u bolesnika s malignim bolestima (ublažavanje boli, ublažavanje kemoterapijom </w:t>
      </w:r>
      <w:r w:rsidR="00E7195D">
        <w:t>potaknute mučnine i povraćanja)</w:t>
      </w:r>
      <w:r w:rsidR="00582410">
        <w:t xml:space="preserve"> …………………………………………………………………………………………………….  6</w:t>
      </w:r>
    </w:p>
    <w:p w:rsidR="00C82691" w:rsidRDefault="00582410" w:rsidP="00753703">
      <w:r w:rsidRPr="00582410">
        <w:t>3.1. Ublažavanje boli u bolesnika na najvišoj podnošljivoj dozi opijata</w:t>
      </w:r>
      <w:r>
        <w:t xml:space="preserve"> …………………………………………….  6</w:t>
      </w:r>
    </w:p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C82691" w:rsidRDefault="00C82691" w:rsidP="00753703"/>
    <w:p w:rsidR="00E7195D" w:rsidRDefault="00E7195D" w:rsidP="00753703"/>
    <w:p w:rsidR="00E7195D" w:rsidRDefault="00E7195D" w:rsidP="00753703"/>
    <w:p w:rsidR="00E7195D" w:rsidRDefault="00E7195D" w:rsidP="00753703"/>
    <w:p w:rsidR="00E7195D" w:rsidRDefault="00E7195D" w:rsidP="00753703"/>
    <w:p w:rsidR="00E7195D" w:rsidRDefault="00E7195D" w:rsidP="00753703"/>
    <w:p w:rsidR="00E7195D" w:rsidRDefault="00E7195D" w:rsidP="00753703"/>
    <w:p w:rsidR="00753703" w:rsidRPr="00E7195D" w:rsidRDefault="00753703" w:rsidP="00753703">
      <w:pPr>
        <w:rPr>
          <w:b/>
          <w:sz w:val="28"/>
          <w:szCs w:val="28"/>
        </w:rPr>
      </w:pPr>
      <w:r w:rsidRPr="00E7195D">
        <w:rPr>
          <w:b/>
          <w:sz w:val="28"/>
          <w:szCs w:val="28"/>
        </w:rPr>
        <w:t>1. Opće napomene</w:t>
      </w:r>
    </w:p>
    <w:p w:rsidR="00753703" w:rsidRDefault="00753703" w:rsidP="00E7195D">
      <w:pPr>
        <w:jc w:val="both"/>
      </w:pPr>
      <w:r>
        <w:t xml:space="preserve">Sveukupno kliničko iskustvo – iz randomiziranih kliničkih pokusa, ili nerandomiziranih ili nekontroliranih serija bolesnika – s doziranjem „kanabinoida“ u bilo kojoj indikaciji je razmjerno oskudno, posebno ako se promatra u odnosu na iskustvo na kojem se temelje preporuke za primjenu/doziranje bilo kojeg „standardnog“ lijeka. Pod „kanabinoidi“ u ovom se konkretnom slučaju misli na fiksnu kombinaciju tetrahidrokanabinola (THC) i kanabidiola (CBD). Posebno je oskudno iskustvo s primjenom oralnih pripravaka THC/CBD, te se ove preporuke temelje ili na kliničkim studijama vrlo </w:t>
      </w:r>
      <w:r>
        <w:lastRenderedPageBreak/>
        <w:t>sličnih oralnih preparata ili na ekstrapolacijama preparata sličnog ili gotovo identičnog sastava ali namijenjenih za drugačiji način primjene (npr. orobukalni sprej).</w:t>
      </w:r>
    </w:p>
    <w:p w:rsidR="00753703" w:rsidRDefault="00753703" w:rsidP="00E7195D">
      <w:pPr>
        <w:jc w:val="both"/>
      </w:pPr>
      <w:r>
        <w:t>Stoga, svaki liječnik koji propiše ovaj preparat mora imati nadzor nad bolesnikom, tj. kontinuirano pratiti podnošljivost i moguće korisne učinke, te sukladno tome a u suglasnosti s bolesnikom, odlučiti, kada je to potrebno, ili o prekidu liječenja ili o mogućoj modifikaciji doze. Individualna titracija doze je pravilo. „Optimalna“ doza je ona koju bolesnik još uvijek dobro podnosi, odnosno, određeni neželjeni učinci nisu takvog intenziteta da bi ga bitno ometali u dnevnoj aktivnosti, a za koju postoji pokazatelj barem minimalne djelotvornosti. Treba imati na umu da u svim situacijama u kojima se koriste, pripravci kanabinoida imaju isključivo SIMPTOMATSKE učinke – stoga je pitanje „djelotvornosti“ pitanje stanja simptoma, ili promjene simptoma, a „optimalna doza“ je ona za koju se objektivno i subjektivno (većina simptoma na koje se očekuje koristan učinak – subjektivna je) može ustanoviti određeni boljitak (u odnosu na stanje bez primjene preparata) uz istodobnu prihvatljivu podnošljivost.</w:t>
      </w:r>
    </w:p>
    <w:p w:rsidR="00753703" w:rsidRPr="00E7195D" w:rsidRDefault="00753703" w:rsidP="00753703">
      <w:pPr>
        <w:rPr>
          <w:b/>
          <w:sz w:val="24"/>
          <w:szCs w:val="24"/>
        </w:rPr>
      </w:pPr>
      <w:r w:rsidRPr="00E7195D">
        <w:rPr>
          <w:b/>
          <w:sz w:val="24"/>
          <w:szCs w:val="24"/>
        </w:rPr>
        <w:t>1.1. Opis pripravka</w:t>
      </w:r>
    </w:p>
    <w:p w:rsidR="0053200D" w:rsidRPr="00557038" w:rsidRDefault="000F2F9D" w:rsidP="00711BA7">
      <w:pPr>
        <w:jc w:val="both"/>
      </w:pPr>
      <w:r w:rsidRPr="00557038">
        <w:t>Pripravak sadrži THC i CBD u omjeru 1:1. Pripravak je u obliku uljnu otopine u bočicama od 25 ml sa dozatorom, i dostupan je u jednoj jačini</w:t>
      </w:r>
      <w:r w:rsidR="0053200D" w:rsidRPr="00557038">
        <w:t>:</w:t>
      </w:r>
    </w:p>
    <w:p w:rsidR="0053200D" w:rsidRPr="00557038" w:rsidRDefault="000F2F9D" w:rsidP="00711BA7">
      <w:pPr>
        <w:jc w:val="both"/>
      </w:pPr>
      <w:r w:rsidRPr="00557038">
        <w:t xml:space="preserve"> Tilray oralna oto</w:t>
      </w:r>
      <w:r w:rsidR="0053200D" w:rsidRPr="00557038">
        <w:t>pina 10,0</w:t>
      </w:r>
      <w:r w:rsidRPr="00557038">
        <w:t xml:space="preserve"> mg THC/ 10,0 mg CBD u</w:t>
      </w:r>
      <w:r w:rsidR="0053200D" w:rsidRPr="00557038">
        <w:t xml:space="preserve"> 1 ml ulja</w:t>
      </w:r>
    </w:p>
    <w:p w:rsidR="0053200D" w:rsidRPr="00557038" w:rsidRDefault="000F2F9D" w:rsidP="00711BA7">
      <w:pPr>
        <w:jc w:val="both"/>
      </w:pPr>
      <w:r w:rsidRPr="00557038">
        <w:t xml:space="preserve"> </w:t>
      </w:r>
      <w:r w:rsidR="00D06691" w:rsidRPr="00557038">
        <w:t>Na svakoj bočici nalazi se kapaljka kojom se pripravak može točno dozira</w:t>
      </w:r>
      <w:r w:rsidR="0053200D" w:rsidRPr="00557038">
        <w:t>ti, s oznakama u mililitrima (ml</w:t>
      </w:r>
      <w:r w:rsidR="00D06691" w:rsidRPr="00557038">
        <w:t>), pri čemu 0,25 mL otopine</w:t>
      </w:r>
      <w:r w:rsidR="0053200D" w:rsidRPr="00557038">
        <w:t xml:space="preserve"> sadržava 2,5 mg; odnosno 0,5 ml</w:t>
      </w:r>
      <w:r w:rsidR="00D06691" w:rsidRPr="00557038">
        <w:t xml:space="preserve"> otopine sadržava 5,0 mg aktivnih tvari (THC-a i CBD-a), što omogućava precizno doziranje od strane pacijenta, a sukladno dozi koju je propisao liječnik za određenu indikaciju. </w:t>
      </w:r>
    </w:p>
    <w:p w:rsidR="00753703" w:rsidRPr="00557038" w:rsidRDefault="00D06691" w:rsidP="00711BA7">
      <w:pPr>
        <w:jc w:val="both"/>
      </w:pPr>
      <w:r w:rsidRPr="00557038">
        <w:t>Npr. ako je od strane liječnika propisana doza 2 x 2,5 mg, pacijent će dva puta dnevno (ujutro i navečer) kapaljkom odmjeriti otopinu do oznake 0,25 mL koja odgovara dozi od 2,5 mg THC/2,5 mg CBD. Kapi se u propisanoj dozi mogu uzimati dodavanjem u jelo ili uz nekoliko gutljaja vode.</w:t>
      </w:r>
    </w:p>
    <w:p w:rsidR="00753703" w:rsidRPr="00E7195D" w:rsidRDefault="00753703" w:rsidP="00753703">
      <w:pPr>
        <w:rPr>
          <w:b/>
          <w:sz w:val="24"/>
          <w:szCs w:val="24"/>
        </w:rPr>
      </w:pPr>
      <w:r w:rsidRPr="00E7195D">
        <w:rPr>
          <w:b/>
          <w:sz w:val="24"/>
          <w:szCs w:val="24"/>
        </w:rPr>
        <w:t>1.2. Opća načela primjene</w:t>
      </w:r>
    </w:p>
    <w:p w:rsidR="00753703" w:rsidRDefault="00753703" w:rsidP="00711BA7">
      <w:pPr>
        <w:jc w:val="both"/>
      </w:pPr>
      <w:r>
        <w:t xml:space="preserve">Svi klinički pokusi svih pripravaka THC/CBD (praktično identičnih ili sasvim sličnih pripravku na koje se ove konkretne preporuke odnose) u svim indikacijama koje su u ovim preporukama navedene podrazumijevali su da se </w:t>
      </w:r>
      <w:r>
        <w:lastRenderedPageBreak/>
        <w:t>ti pripravci koriste kao „add-on“ terapija – bolesnici su istodobno primali niz drugih lijekova koja spadaju u „standardno liječenje“ tih stanja. U tim kliničkim pokusima NISU uočene relevantne interakcije između preparata THC/CBD i „standardne terapije“. Shodno tome:</w:t>
      </w:r>
    </w:p>
    <w:p w:rsidR="00753703" w:rsidRDefault="00753703" w:rsidP="00557038">
      <w:pPr>
        <w:pStyle w:val="Odlomakpopisa"/>
        <w:numPr>
          <w:ilvl w:val="0"/>
          <w:numId w:val="1"/>
        </w:numPr>
        <w:jc w:val="both"/>
      </w:pPr>
      <w:r>
        <w:t xml:space="preserve">Ove preporuke odnose se </w:t>
      </w:r>
      <w:r w:rsidRPr="00557038">
        <w:rPr>
          <w:b/>
        </w:rPr>
        <w:t xml:space="preserve">isključivo </w:t>
      </w:r>
      <w:r>
        <w:t>na situacije (indikacija + „standardna“ terapija za predmetno stanje) u kojima se pripravak primjenjuje upravo kako je navedeno, kao „add-on“ terapija i u tim okolnostima NE TREBA OČEKIVATI relevantne interakcije sa „standardnom terapijom“.</w:t>
      </w:r>
    </w:p>
    <w:p w:rsidR="00753703" w:rsidRDefault="00753703" w:rsidP="00557038">
      <w:pPr>
        <w:pStyle w:val="Odlomakpopisa"/>
        <w:numPr>
          <w:ilvl w:val="0"/>
          <w:numId w:val="1"/>
        </w:numPr>
        <w:jc w:val="both"/>
      </w:pPr>
      <w:r>
        <w:t>Ovisno o stanju, „standardna terapija“ može uključivati razne psihotropne tvari i antiepleptike, primjerice: opioidne analgetike, tricikličke antidepresive, venlafaksin, duloksetin, milnacipran, gabapentin, pregabalin, karbamazepin, okskarbamazepin, topiramat, levetiracetam, diazepam, klonazepam</w:t>
      </w:r>
      <w:r w:rsidR="00145AC3">
        <w:t xml:space="preserve">, </w:t>
      </w:r>
      <w:r w:rsidR="00145AC3" w:rsidRPr="00557038">
        <w:t>baklofen</w:t>
      </w:r>
      <w:r w:rsidRPr="00557038">
        <w:t>.</w:t>
      </w:r>
      <w:r w:rsidR="00145AC3" w:rsidRPr="00557038">
        <w:t xml:space="preserve"> THC ima širok raspon psihoaktivnih učinaka. Velika ih se većina očituje pri dozama koje su znatno više od onih koji se u ovoj preporuci navode. Međutim, izvjesno je moguće, ovisno o individualnoj reaktivnosti (a pogotovo u starijih osoba), da pri istodobnoj primjeni THC (u bilo kojoj dozi) s tvarima koje imaju (i) opći depresorni učinak na središnji živčani sustav (suprimiraju psihomotornu aktivnost, tj. sediraju) poput opioida ili benzodiazepina– taj učinak bude izraženiji.</w:t>
      </w:r>
    </w:p>
    <w:p w:rsidR="00753703" w:rsidRDefault="00753703" w:rsidP="00557038">
      <w:pPr>
        <w:pStyle w:val="Odlomakpopisa"/>
        <w:numPr>
          <w:ilvl w:val="0"/>
          <w:numId w:val="1"/>
        </w:numPr>
        <w:jc w:val="both"/>
      </w:pPr>
      <w:r>
        <w:t>Navedene preporuke odnose se na situacije u kojima bolesnici NE KORISTE istodobno alkohol ili antipsihotike. U tom slučaju, nije moguće isključiti interakcije u smislu potenciranja različitih neuroloških/psiholoških neželjenih učinaka (deluzije-halucinacije, intenzivna sedacija ili dublji/drugi poremećaji svijesti, konvulzije).</w:t>
      </w:r>
    </w:p>
    <w:p w:rsidR="00753703" w:rsidRDefault="00753703" w:rsidP="00711BA7">
      <w:pPr>
        <w:jc w:val="both"/>
      </w:pPr>
      <w:r>
        <w:t>Tijekom primjene oralnih preparata THC/CBD (praktično identičnih ili sasvim sličnih pripravku na koje se ove konkretne preporuke odnose) mogu se javiti različiti neželjeni fenomeni. S obzirom na stanja u kojem se ti i ovaj pripravak primjenjuju, nerijetko je teško utvrditi jesu li oni uzročno-posljedično povezani sa samim pripravcima ili su posljedica stanja koje se liječi. Također, nije moguće pouzdanije utvrditi učestalost s kojom se ti neželjeni fenomeni javljaju.</w:t>
      </w:r>
    </w:p>
    <w:p w:rsidR="00753703" w:rsidRDefault="00753703" w:rsidP="00711BA7">
      <w:pPr>
        <w:jc w:val="both"/>
      </w:pPr>
      <w:r>
        <w:t xml:space="preserve">Na temelju kontroliranih kliničkih pokusa gdje je kontrolni tretman bio placebo ili su kontrolne skupine bile bez tretmana (osim „standardne terapije stanja“), slijedeći se neželjeni fenomeni javljaju ČEŠĆE uz pripravke </w:t>
      </w:r>
      <w:r>
        <w:lastRenderedPageBreak/>
        <w:t>THC/CBD, te su stoga najvjerojatnije uzročno-posljedično povezani sa samim pripravcima:</w:t>
      </w:r>
    </w:p>
    <w:p w:rsidR="00753703" w:rsidRDefault="00753703" w:rsidP="00711BA7">
      <w:pPr>
        <w:jc w:val="both"/>
      </w:pPr>
      <w:r w:rsidRPr="00490471">
        <w:rPr>
          <w:b/>
        </w:rPr>
        <w:t>Probavni sustav</w:t>
      </w:r>
      <w:r>
        <w:t>: suha usta, mučnina, povraćanje, opstipacija, dispepsi</w:t>
      </w:r>
      <w:r w:rsidR="00E7195D">
        <w:t>ja, bol u epigastriju, proljev.</w:t>
      </w:r>
    </w:p>
    <w:p w:rsidR="00753703" w:rsidRDefault="00753703" w:rsidP="00711BA7">
      <w:pPr>
        <w:jc w:val="both"/>
      </w:pPr>
      <w:r w:rsidRPr="00490471">
        <w:rPr>
          <w:b/>
        </w:rPr>
        <w:t>Središnji živčani sustav</w:t>
      </w:r>
      <w:r>
        <w:t>: umor, glavobolja, omamljenost, sedacija, omaglica, poremećaji koordinacije pokreta, suicidalne ideje, halucinacije, deluzije, euforično raspoloženje, depresivno raspoloženje, konfuzija-dezorijentacija, anksioznost</w:t>
      </w:r>
    </w:p>
    <w:p w:rsidR="00753703" w:rsidRDefault="00753703" w:rsidP="00711BA7">
      <w:pPr>
        <w:jc w:val="both"/>
      </w:pPr>
      <w:r w:rsidRPr="00490471">
        <w:rPr>
          <w:b/>
        </w:rPr>
        <w:t>Opće stanje</w:t>
      </w:r>
      <w:r>
        <w:t>: gubitak apetita, gubitak tjelesne težine</w:t>
      </w:r>
    </w:p>
    <w:p w:rsidR="00753703" w:rsidRDefault="00753703" w:rsidP="00711BA7">
      <w:pPr>
        <w:jc w:val="both"/>
      </w:pPr>
      <w:r>
        <w:t xml:space="preserve">Svi ovi neželjeni fenomeni (s učestalošću većom nego uz placebo/bez tretmana) uočeni su u različitim indikacijama (multipla skleroza, maligni bolesnici). Zanimljivo, u nekoliko studija u MS, </w:t>
      </w:r>
      <w:r w:rsidR="00E7195D">
        <w:t xml:space="preserve">                                      </w:t>
      </w:r>
      <w:r w:rsidRPr="00490471">
        <w:rPr>
          <w:b/>
        </w:rPr>
        <w:t>bol u mišićima</w:t>
      </w:r>
      <w:r>
        <w:t xml:space="preserve"> </w:t>
      </w:r>
      <w:r w:rsidRPr="00490471">
        <w:rPr>
          <w:b/>
        </w:rPr>
        <w:t>i mišićni spazmi</w:t>
      </w:r>
      <w:r>
        <w:t xml:space="preserve"> – stanja za koja se preporučuje koristiti THC/CBD pripravke – bili su češći nego uz placebo.</w:t>
      </w:r>
    </w:p>
    <w:p w:rsidR="00753703" w:rsidRDefault="00753703" w:rsidP="00711BA7">
      <w:pPr>
        <w:jc w:val="both"/>
      </w:pPr>
      <w:r>
        <w:t xml:space="preserve">Sljedeći neželjeni fenomeni (dodatno), opisani su pri </w:t>
      </w:r>
      <w:r w:rsidRPr="00490471">
        <w:rPr>
          <w:b/>
        </w:rPr>
        <w:t>uporabi kanabinoida u rekreativne svrhe (zlouporaba) - tipično „pušenje marihuane“ (u smislu učestalosti veće nego u nekonzumenata):</w:t>
      </w:r>
    </w:p>
    <w:p w:rsidR="00753703" w:rsidRDefault="00753703" w:rsidP="00711BA7">
      <w:pPr>
        <w:jc w:val="both"/>
      </w:pPr>
      <w:r w:rsidRPr="00490471">
        <w:rPr>
          <w:i/>
        </w:rPr>
        <w:t>Središnji živčani sustav:</w:t>
      </w:r>
      <w:r>
        <w:t xml:space="preserve"> depersonalizacija, pogoršanje psihoze, gubitak pojma o vremenu, fragmentacija misli, poremećaj pamćenja, pogoršano rješavanje kompleksnih zadataka, ataksija, dizartrija, apstinencijske smetnje: razdražljivost, nemir, depresija, neobični snovi, motorni nemir.</w:t>
      </w:r>
    </w:p>
    <w:p w:rsidR="00753703" w:rsidRDefault="00753703" w:rsidP="00711BA7">
      <w:pPr>
        <w:jc w:val="both"/>
      </w:pPr>
      <w:r w:rsidRPr="00490471">
        <w:rPr>
          <w:i/>
        </w:rPr>
        <w:t>Kardiovaskularni sustav:</w:t>
      </w:r>
      <w:r>
        <w:t xml:space="preserve"> vazodilatacija, tahikardija, atrijska fibrilacija.</w:t>
      </w:r>
    </w:p>
    <w:p w:rsidR="00753703" w:rsidRDefault="00753703" w:rsidP="00711BA7">
      <w:pPr>
        <w:jc w:val="both"/>
      </w:pPr>
      <w:r w:rsidRPr="00490471">
        <w:rPr>
          <w:i/>
        </w:rPr>
        <w:t>Reproduktivni sustav:</w:t>
      </w:r>
      <w:r>
        <w:t xml:space="preserve"> smanjen broj i pokretljivost spermija.</w:t>
      </w:r>
    </w:p>
    <w:p w:rsidR="00E7195D" w:rsidRDefault="00E7195D" w:rsidP="00711BA7">
      <w:pPr>
        <w:jc w:val="both"/>
      </w:pPr>
    </w:p>
    <w:p w:rsidR="00753703" w:rsidRDefault="00753703" w:rsidP="00711BA7">
      <w:pPr>
        <w:jc w:val="both"/>
      </w:pPr>
      <w:r>
        <w:t>Poznato je da se na većinu organskih i psiholoških/psihomotornih fenomena razvije tolerancija. Međutim:</w:t>
      </w:r>
    </w:p>
    <w:p w:rsidR="00753703" w:rsidRDefault="00753703" w:rsidP="00711BA7">
      <w:pPr>
        <w:jc w:val="both"/>
      </w:pPr>
      <w:r>
        <w:t>a) Nije moguće predvidjeti u kojih ljudi će se navedeni neželjeni fenomeni javiti, niti je moguće predvidjeti njihov intenzitet;</w:t>
      </w:r>
    </w:p>
    <w:p w:rsidR="00753703" w:rsidRDefault="00753703" w:rsidP="00711BA7">
      <w:pPr>
        <w:jc w:val="both"/>
      </w:pPr>
      <w:r>
        <w:t>b) Nije moguće predvidjeti u kojih ljudi će se, i tijekom kojeg vremena, razviti tolerancija pa će i fenomeni intenzitetom oslabjeti i nestati.</w:t>
      </w:r>
    </w:p>
    <w:p w:rsidR="00E7195D" w:rsidRDefault="00E7195D" w:rsidP="00711BA7">
      <w:pPr>
        <w:jc w:val="both"/>
      </w:pPr>
    </w:p>
    <w:p w:rsidR="00753703" w:rsidRDefault="00753703" w:rsidP="00711BA7">
      <w:pPr>
        <w:jc w:val="both"/>
      </w:pPr>
      <w:r>
        <w:lastRenderedPageBreak/>
        <w:t>S obzirom na navedeno</w:t>
      </w:r>
    </w:p>
    <w:p w:rsidR="00753703" w:rsidRDefault="00753703" w:rsidP="00557038">
      <w:pPr>
        <w:pStyle w:val="Odlomakpopisa"/>
        <w:numPr>
          <w:ilvl w:val="0"/>
          <w:numId w:val="2"/>
        </w:numPr>
        <w:jc w:val="both"/>
      </w:pPr>
      <w:r>
        <w:t>Pripravak se u liječenje uvijek uvodi postepeno (ukupna količina i učestalost dnevne primjene), pa i nekoliko tjedana (ili možda i dulje) može biti potrebno da se dosegne (ako se dosegne) „optimalna doza“. Može se očekivati da i do 30% ili čak do</w:t>
      </w:r>
      <w:r w:rsidR="005F7258">
        <w:t xml:space="preserve"> 40% bolesnika NE MOŽE dostatno</w:t>
      </w:r>
    </w:p>
    <w:p w:rsidR="00753703" w:rsidRDefault="00753703" w:rsidP="00711BA7">
      <w:pPr>
        <w:jc w:val="both"/>
      </w:pPr>
      <w:r>
        <w:t>dobro podnositi lijek da bi mogli primiti dozu koja bi dala terapijsku korist, odnosno da odustanu od liječenja još u titracijskoj fazi;</w:t>
      </w:r>
    </w:p>
    <w:p w:rsidR="00753703" w:rsidRDefault="00753703" w:rsidP="00557038">
      <w:pPr>
        <w:pStyle w:val="Odlomakpopisa"/>
        <w:numPr>
          <w:ilvl w:val="0"/>
          <w:numId w:val="2"/>
        </w:numPr>
        <w:jc w:val="both"/>
      </w:pPr>
      <w:r>
        <w:t>„Ravnoteža“ podnošljivosti i terapijskog učinka određuje se individualno.</w:t>
      </w:r>
    </w:p>
    <w:p w:rsidR="005F7258" w:rsidRDefault="005F7258" w:rsidP="00753703"/>
    <w:p w:rsidR="005F7258" w:rsidRPr="005F7258" w:rsidRDefault="00753703" w:rsidP="00753703">
      <w:pPr>
        <w:rPr>
          <w:b/>
          <w:sz w:val="28"/>
          <w:szCs w:val="28"/>
        </w:rPr>
      </w:pPr>
      <w:r w:rsidRPr="005F7258">
        <w:rPr>
          <w:b/>
          <w:sz w:val="28"/>
          <w:szCs w:val="28"/>
        </w:rPr>
        <w:t>2. Doziranje u bolesnika s multiplom sklerozom</w:t>
      </w:r>
    </w:p>
    <w:p w:rsidR="00753703" w:rsidRDefault="00753703" w:rsidP="00711BA7">
      <w:pPr>
        <w:jc w:val="both"/>
      </w:pPr>
      <w:r>
        <w:t>Pripravak je namijenjen za ublažavanje:</w:t>
      </w:r>
    </w:p>
    <w:p w:rsidR="00753703" w:rsidRDefault="00753703" w:rsidP="00557038">
      <w:pPr>
        <w:pStyle w:val="Odlomakpopisa"/>
        <w:numPr>
          <w:ilvl w:val="0"/>
          <w:numId w:val="2"/>
        </w:numPr>
        <w:jc w:val="both"/>
      </w:pPr>
      <w:r>
        <w:t>Spasticiteta (subjektivno)</w:t>
      </w:r>
    </w:p>
    <w:p w:rsidR="00753703" w:rsidRDefault="00753703" w:rsidP="00557038">
      <w:pPr>
        <w:pStyle w:val="Odlomakpopisa"/>
        <w:numPr>
          <w:ilvl w:val="0"/>
          <w:numId w:val="2"/>
        </w:numPr>
        <w:jc w:val="both"/>
      </w:pPr>
      <w:r>
        <w:t>Centralne (središnje) neuropatske boli</w:t>
      </w:r>
    </w:p>
    <w:p w:rsidR="00753703" w:rsidRDefault="00753703" w:rsidP="00557038">
      <w:pPr>
        <w:pStyle w:val="Odlomakpopisa"/>
        <w:numPr>
          <w:ilvl w:val="0"/>
          <w:numId w:val="2"/>
        </w:numPr>
        <w:jc w:val="both"/>
      </w:pPr>
      <w:r>
        <w:t>Bolnih mišićnih spazama</w:t>
      </w:r>
    </w:p>
    <w:p w:rsidR="00753703" w:rsidRDefault="00753703" w:rsidP="00557038">
      <w:pPr>
        <w:pStyle w:val="Odlomakpopisa"/>
        <w:numPr>
          <w:ilvl w:val="0"/>
          <w:numId w:val="2"/>
        </w:numPr>
        <w:jc w:val="both"/>
      </w:pPr>
      <w:r>
        <w:t>Smetnji od strane hiperaktivnog mokraćnog mjehura</w:t>
      </w:r>
    </w:p>
    <w:p w:rsidR="00753703" w:rsidRDefault="00753703" w:rsidP="00711BA7">
      <w:pPr>
        <w:jc w:val="both"/>
      </w:pPr>
      <w:r>
        <w:t>Praktično, to znači da bilo koji od ovih simptoma, ako je posebno naglašen ili „vodeći“, može biti razlogom da se odluči primijeniti pripravak THC/CBD. Isto tako, u jednog bolesnika može biti naglašen jedan ili više od ovih simptoma, ili svi – pa je onda „skup simptoma“ razlogom za uvođenje pripravka THC/CBD.</w:t>
      </w:r>
    </w:p>
    <w:p w:rsidR="00753703" w:rsidRDefault="00753703" w:rsidP="00711BA7">
      <w:pPr>
        <w:jc w:val="both"/>
      </w:pPr>
      <w:r>
        <w:t>Kandidati za liječenje su oni bolesnici u kojih „konvencionalna“ terapija (barem jedan drugi „konvencionalni“ tretman) ne daje zadovoljavajuće rezultate.</w:t>
      </w:r>
    </w:p>
    <w:p w:rsidR="00753703" w:rsidRDefault="00753703" w:rsidP="00711BA7">
      <w:pPr>
        <w:jc w:val="both"/>
      </w:pPr>
      <w:r>
        <w:t>Pripravak THC/CBD dodaje se kao „add-on“ terapija.</w:t>
      </w:r>
    </w:p>
    <w:p w:rsidR="00753703" w:rsidRDefault="00753703" w:rsidP="00711BA7">
      <w:pPr>
        <w:jc w:val="both"/>
      </w:pPr>
      <w:r>
        <w:t>Najbolje je dokazana korist u ublažavanju spasticiteta, nešto manje eksplicitno u ublažavanju centralne neuropatske boli i bolnih mišićnih spazama, a najmanje (najmanji efekti) u ublažavanju tegoba od strane mokraćnog mjehura.</w:t>
      </w:r>
    </w:p>
    <w:p w:rsidR="00753703" w:rsidRDefault="00753703" w:rsidP="00711BA7">
      <w:pPr>
        <w:jc w:val="both"/>
      </w:pPr>
      <w:r>
        <w:t xml:space="preserve">Način primjene i doze ISTE su bez obzira koji je simptom primarni „cilj“ terapije (ili skup simptoma). Međutim, kada je to spasticitet, ili centralna </w:t>
      </w:r>
      <w:r>
        <w:lastRenderedPageBreak/>
        <w:t>bol ili pak bolni mišićni spazmi (ili sve troje), onda se u titraciji doze i tijekom liječenja treba orijentirati primjenom numeričkih ljestvica za intenzitet simptoma (numerical rating scale, NRS, gdje 0= nema smetnji, 10= najjače moguće smetnje). Ako su pri tome prisutne i smetnje od strane mokraćnog mjehura, postoji vjerojatnost da i one bude ublažene. Ako su pak smetnje od strane mokraćnog mjehura najiz</w:t>
      </w:r>
      <w:r w:rsidR="00490471">
        <w:t>raženije, te su one razlogom za</w:t>
      </w:r>
    </w:p>
    <w:p w:rsidR="00753703" w:rsidRDefault="00753703" w:rsidP="00711BA7">
      <w:pPr>
        <w:jc w:val="both"/>
      </w:pPr>
      <w:r>
        <w:t>uvođenje THC/CBD pripravka, nema nekog objektivnog pokazatelja koji bi usmjeravao titraciju/održavanje doze već se to temelji na podnošljivosti i subjektivnom izvještaju bolesnika o stanju simptoma, ili, ako bolesnik primjenjuje neki drugi instrument za praćenje smetnji od strane mokraćnog mjehura (npr. dnevnik) – na temelju rezultata kvantificiranih tim instrumentom.</w:t>
      </w:r>
    </w:p>
    <w:p w:rsidR="00753703" w:rsidRPr="00490471" w:rsidRDefault="00753703" w:rsidP="00711BA7">
      <w:pPr>
        <w:jc w:val="both"/>
        <w:rPr>
          <w:strike/>
        </w:rPr>
      </w:pPr>
    </w:p>
    <w:p w:rsidR="00753703" w:rsidRDefault="00753703" w:rsidP="00711BA7">
      <w:pPr>
        <w:jc w:val="both"/>
      </w:pPr>
      <w:r>
        <w:t>Jedinične doze primjenjuju se dva puta dnevno (ujutro i uvečer, u približno 12-satnom razmaku).</w:t>
      </w:r>
    </w:p>
    <w:p w:rsidR="00753703" w:rsidRDefault="00753703" w:rsidP="00753703">
      <w:pPr>
        <w:rPr>
          <w:b/>
          <w:sz w:val="24"/>
          <w:szCs w:val="24"/>
        </w:rPr>
      </w:pPr>
      <w:r w:rsidRPr="005F7258">
        <w:rPr>
          <w:b/>
          <w:sz w:val="24"/>
          <w:szCs w:val="24"/>
        </w:rPr>
        <w:t>Liječenje se sastoji od faze titracije doze i faze održavanja.</w:t>
      </w:r>
    </w:p>
    <w:p w:rsidR="005F7258" w:rsidRPr="005F7258" w:rsidRDefault="005F7258" w:rsidP="00753703">
      <w:pPr>
        <w:rPr>
          <w:b/>
          <w:sz w:val="24"/>
          <w:szCs w:val="24"/>
        </w:rPr>
      </w:pPr>
    </w:p>
    <w:p w:rsidR="00753703" w:rsidRPr="00490471" w:rsidRDefault="00753703" w:rsidP="00711BA7">
      <w:pPr>
        <w:jc w:val="both"/>
        <w:rPr>
          <w:b/>
        </w:rPr>
      </w:pPr>
      <w:r w:rsidRPr="00490471">
        <w:rPr>
          <w:b/>
        </w:rPr>
        <w:t>Prije početka liječenja</w:t>
      </w:r>
    </w:p>
    <w:p w:rsidR="00490471" w:rsidRDefault="00753703" w:rsidP="00711BA7">
      <w:pPr>
        <w:jc w:val="both"/>
      </w:pPr>
      <w:r>
        <w:t>Prije početka liječenja, potrebno je procijeniti stanje simptoma uporabom NRS.</w:t>
      </w:r>
    </w:p>
    <w:p w:rsidR="005F7258" w:rsidRDefault="005F7258" w:rsidP="00711BA7">
      <w:pPr>
        <w:jc w:val="both"/>
      </w:pPr>
    </w:p>
    <w:p w:rsidR="00753703" w:rsidRPr="00490471" w:rsidRDefault="00753703" w:rsidP="00711BA7">
      <w:pPr>
        <w:jc w:val="both"/>
        <w:rPr>
          <w:b/>
        </w:rPr>
      </w:pPr>
      <w:r w:rsidRPr="00490471">
        <w:rPr>
          <w:b/>
        </w:rPr>
        <w:t>Faza titracije</w:t>
      </w:r>
    </w:p>
    <w:p w:rsidR="00753703" w:rsidRDefault="00753703" w:rsidP="00711BA7">
      <w:pPr>
        <w:jc w:val="both"/>
      </w:pPr>
      <w:r>
        <w:t>Faza titracije može potrajati nekoliko tjedana (očekivano 3-4 tjedna).</w:t>
      </w:r>
    </w:p>
    <w:p w:rsidR="00753703" w:rsidRDefault="00753703" w:rsidP="00711BA7">
      <w:pPr>
        <w:jc w:val="both"/>
      </w:pPr>
      <w:r>
        <w:t>Svako povećanje doze iznosi 2 x 2.5</w:t>
      </w:r>
      <w:r w:rsidR="00C82691">
        <w:t xml:space="preserve"> mg</w:t>
      </w:r>
      <w:r>
        <w:t xml:space="preserve">/dan (npr. s 2 x 2.5 </w:t>
      </w:r>
      <w:r w:rsidR="00C82691">
        <w:t xml:space="preserve">mg </w:t>
      </w:r>
      <w:r>
        <w:t>na 2 x 5.0</w:t>
      </w:r>
      <w:r w:rsidR="00C82691">
        <w:t xml:space="preserve"> mg</w:t>
      </w:r>
      <w:r>
        <w:t>; ili s 2 x 5.0</w:t>
      </w:r>
      <w:r w:rsidR="00C82691">
        <w:t xml:space="preserve"> mg</w:t>
      </w:r>
      <w:r>
        <w:t xml:space="preserve"> na 2 x 7.5</w:t>
      </w:r>
      <w:r w:rsidR="00C82691">
        <w:t xml:space="preserve"> mg</w:t>
      </w:r>
      <w:r w:rsidR="00557038">
        <w:t xml:space="preserve"> </w:t>
      </w:r>
    </w:p>
    <w:p w:rsidR="00753703" w:rsidRDefault="00753703" w:rsidP="00711BA7">
      <w:pPr>
        <w:jc w:val="both"/>
      </w:pPr>
      <w:r w:rsidRPr="005F7258">
        <w:rPr>
          <w:b/>
        </w:rPr>
        <w:t>Prva, početna doza iznosi</w:t>
      </w:r>
      <w:r>
        <w:t xml:space="preserve"> 2 x 2.5</w:t>
      </w:r>
      <w:r w:rsidR="00C82691">
        <w:t xml:space="preserve"> mg</w:t>
      </w:r>
      <w:r>
        <w:t>/dan.</w:t>
      </w:r>
    </w:p>
    <w:p w:rsidR="00753703" w:rsidRDefault="00753703" w:rsidP="00711BA7">
      <w:pPr>
        <w:jc w:val="both"/>
      </w:pPr>
      <w:r>
        <w:t>Ukoliko se dobro podnosi, tu dozu treba ponoviti tijekom iduća 3-4 dana, a zatim slijedi povećanje doze za 2 x 2.5</w:t>
      </w:r>
      <w:r w:rsidR="00A20F56">
        <w:t xml:space="preserve"> mg</w:t>
      </w:r>
      <w:r>
        <w:t>/dan, tj. na 2 x 5.0</w:t>
      </w:r>
      <w:r w:rsidR="00A20F56">
        <w:t xml:space="preserve"> mg</w:t>
      </w:r>
      <w:r>
        <w:t>/dan.</w:t>
      </w:r>
    </w:p>
    <w:p w:rsidR="00753703" w:rsidRDefault="00753703" w:rsidP="00711BA7">
      <w:pPr>
        <w:jc w:val="both"/>
      </w:pPr>
      <w:r>
        <w:lastRenderedPageBreak/>
        <w:t>Ukoliko uz tu početnu dozu postoje tegobe koje nisu previše izražene, dozu treba ponavljati tijekom idućih 5-6 dana jer postoji mogućnost da će se tegobe povući.</w:t>
      </w:r>
    </w:p>
    <w:p w:rsidR="00753703" w:rsidRDefault="00753703" w:rsidP="00711BA7">
      <w:pPr>
        <w:jc w:val="both"/>
      </w:pPr>
      <w:r>
        <w:t>Ukoliko su tegobe previše izražene – odustaje se od liječenja.</w:t>
      </w:r>
    </w:p>
    <w:p w:rsidR="00753703" w:rsidRDefault="00557038" w:rsidP="00711BA7">
      <w:pPr>
        <w:jc w:val="both"/>
      </w:pPr>
      <w:r>
        <w:rPr>
          <w:b/>
        </w:rPr>
        <w:t>Sl</w:t>
      </w:r>
      <w:r w:rsidR="00753703" w:rsidRPr="005F7258">
        <w:rPr>
          <w:b/>
        </w:rPr>
        <w:t>jedeća doza iznosi</w:t>
      </w:r>
      <w:r w:rsidR="00753703">
        <w:t xml:space="preserve"> 2 x 5.0</w:t>
      </w:r>
      <w:r w:rsidR="00A20F56">
        <w:t xml:space="preserve"> mg</w:t>
      </w:r>
      <w:r w:rsidR="00753703">
        <w:t>/dan.</w:t>
      </w:r>
    </w:p>
    <w:p w:rsidR="00753703" w:rsidRDefault="00753703" w:rsidP="00711BA7">
      <w:pPr>
        <w:jc w:val="both"/>
      </w:pPr>
      <w:r>
        <w:t>Ukoliko se dobro podnosi, tu dozu treba ponoviti tijekom iduća 3-4 dana, a zatim slijedi povećanje doze za 2 x 2.5</w:t>
      </w:r>
      <w:r w:rsidR="00A20F56">
        <w:t xml:space="preserve"> mg</w:t>
      </w:r>
      <w:r>
        <w:t>/dan, tj. na 2 x 7.5</w:t>
      </w:r>
      <w:r w:rsidR="00A20F56">
        <w:t xml:space="preserve"> mg</w:t>
      </w:r>
      <w:r w:rsidR="005F7258">
        <w:t>/dan.</w:t>
      </w:r>
    </w:p>
    <w:p w:rsidR="00753703" w:rsidRDefault="00753703" w:rsidP="00711BA7">
      <w:pPr>
        <w:jc w:val="both"/>
      </w:pPr>
      <w:r>
        <w:t>Ukoliko uz tu dozu postoje tegobe koje nisu previše izražene, dozu treba ponavljati tijekom idućih 5-6 dana jer postoji mogućnost da će se tegobe povući.</w:t>
      </w:r>
    </w:p>
    <w:p w:rsidR="00753703" w:rsidRDefault="00753703" w:rsidP="00711BA7">
      <w:pPr>
        <w:jc w:val="both"/>
      </w:pPr>
      <w:r>
        <w:t>Ukoliko su tegobe previše izražene – odustaje se od liječenja, ili se doza snizi za jednu stepenicu.</w:t>
      </w:r>
    </w:p>
    <w:p w:rsidR="00753703" w:rsidRDefault="00753703" w:rsidP="00711BA7">
      <w:pPr>
        <w:jc w:val="both"/>
      </w:pPr>
      <w:r>
        <w:t>Na taj način, postupnim povećanjem za 2 x 2.5</w:t>
      </w:r>
      <w:r w:rsidR="00A20F56">
        <w:t xml:space="preserve"> mg</w:t>
      </w:r>
      <w:r>
        <w:t>/dan ili eventualnim sniženjem ako su smetnje previše izražene, dostigne se najviša doza koja se još uvijek podnosi bez većih tegoba.</w:t>
      </w:r>
    </w:p>
    <w:p w:rsidR="00753703" w:rsidRDefault="00753703" w:rsidP="00711BA7">
      <w:pPr>
        <w:jc w:val="both"/>
        <w:rPr>
          <w:b/>
        </w:rPr>
      </w:pPr>
      <w:r w:rsidRPr="005F7258">
        <w:rPr>
          <w:b/>
        </w:rPr>
        <w:t xml:space="preserve">Ta doza </w:t>
      </w:r>
      <w:r w:rsidR="00145AC3" w:rsidRPr="00557038">
        <w:rPr>
          <w:b/>
        </w:rPr>
        <w:t>ne bi trebala</w:t>
      </w:r>
      <w:r w:rsidRPr="00557038">
        <w:rPr>
          <w:b/>
        </w:rPr>
        <w:t xml:space="preserve"> </w:t>
      </w:r>
      <w:r w:rsidRPr="005F7258">
        <w:rPr>
          <w:b/>
        </w:rPr>
        <w:t>prijeći 30 mg THC/30 mg CBD dnevno (2 x 15</w:t>
      </w:r>
      <w:r w:rsidR="00A20F56" w:rsidRPr="005F7258">
        <w:rPr>
          <w:b/>
        </w:rPr>
        <w:t xml:space="preserve"> mg</w:t>
      </w:r>
      <w:r w:rsidRPr="005F7258">
        <w:rPr>
          <w:b/>
        </w:rPr>
        <w:t>/dan).</w:t>
      </w:r>
      <w:r w:rsidR="00145AC3">
        <w:rPr>
          <w:b/>
        </w:rPr>
        <w:t xml:space="preserve"> </w:t>
      </w:r>
    </w:p>
    <w:p w:rsidR="00145AC3" w:rsidRPr="00557038" w:rsidRDefault="00145AC3" w:rsidP="00711BA7">
      <w:pPr>
        <w:jc w:val="both"/>
      </w:pPr>
      <w:r w:rsidRPr="00557038">
        <w:t xml:space="preserve">Ova se preporuka temelji na rezultatima randomiziranih kliničkih pokusa u kojima su pripravci slični pripravku Tilray korišteni s povoljnim odnosom koristi i štete u većine ispitanika. </w:t>
      </w:r>
    </w:p>
    <w:p w:rsidR="00145AC3" w:rsidRPr="00557038" w:rsidRDefault="00145AC3" w:rsidP="00711BA7">
      <w:pPr>
        <w:jc w:val="both"/>
      </w:pPr>
      <w:r w:rsidRPr="00557038">
        <w:t>Moguće je da pojedini bolesnici mogu trebati i mogu dobro podnositi i doze VIŠE od navedenih. Budući da se do njih dolazi postupno, tijekom višednevne/višetjedne titracije doze, opravdano je smatrati da</w:t>
      </w:r>
      <w:r w:rsidR="00A96BF8" w:rsidRPr="00557038">
        <w:t xml:space="preserve"> daljnje postupno povećanje neće rezultirati iznenadnim dramatičnim neželjenim pojavama. Činjenica je, međutim, da nije moguće pouzdano tvrditi koja je to doza koja se </w:t>
      </w:r>
      <w:r w:rsidR="00A96BF8" w:rsidRPr="00557038">
        <w:rPr>
          <w:b/>
          <w:i/>
        </w:rPr>
        <w:t>apsolutno ne smije prekoračiti</w:t>
      </w:r>
      <w:r w:rsidR="00A96BF8" w:rsidRPr="00557038">
        <w:t>. Doza koja je za jednoga bolesnika djelotvorna i dobro podnošljiva, za drugoga može biti nepodnošljiva.</w:t>
      </w:r>
    </w:p>
    <w:p w:rsidR="00753703" w:rsidRDefault="00753703" w:rsidP="00711BA7">
      <w:pPr>
        <w:jc w:val="both"/>
      </w:pPr>
      <w:r>
        <w:t>Ako se ne odustane od liječenja tijekom tih prvih nekoliko tjedana, 4-5 tjedana od početka liječenja treba ponoviti procjenu simptoma uporabom NRS.</w:t>
      </w:r>
    </w:p>
    <w:p w:rsidR="00753703" w:rsidRDefault="00557038" w:rsidP="00711BA7">
      <w:pPr>
        <w:jc w:val="both"/>
      </w:pPr>
      <w:r>
        <w:t xml:space="preserve">Ukoliko je NRS skor za </w:t>
      </w:r>
      <w:r w:rsidR="00753703">
        <w:t>30% manji nego prije početka liječenja – liječenje treba nastaviti.</w:t>
      </w:r>
    </w:p>
    <w:p w:rsidR="00753703" w:rsidRDefault="00557038" w:rsidP="00711BA7">
      <w:pPr>
        <w:jc w:val="both"/>
      </w:pPr>
      <w:r>
        <w:lastRenderedPageBreak/>
        <w:t xml:space="preserve">Ukoliko je NRS skor za </w:t>
      </w:r>
      <w:r w:rsidR="00753703">
        <w:t>30% manji nego prije početka liječenja – treba pokušati p</w:t>
      </w:r>
      <w:r w:rsidR="00AE329F">
        <w:t xml:space="preserve">ovisiti dozu za jednu stepenicu. </w:t>
      </w:r>
      <w:r w:rsidR="00753703" w:rsidRPr="005F7258">
        <w:rPr>
          <w:b/>
        </w:rPr>
        <w:t>Ako to nije moguće – treba odustati od liječenja, jer se ne može smatrati da ima učinka.</w:t>
      </w:r>
    </w:p>
    <w:p w:rsidR="00753703" w:rsidRDefault="00753703" w:rsidP="00711BA7">
      <w:pPr>
        <w:jc w:val="both"/>
        <w:rPr>
          <w:b/>
        </w:rPr>
      </w:pPr>
      <w:r w:rsidRPr="005F7258">
        <w:rPr>
          <w:b/>
        </w:rPr>
        <w:t>Od liječenja treba odustati ako bilo koja najviša doza koja se podnosi tijekom prvih 4-5 tje</w:t>
      </w:r>
      <w:r w:rsidR="00AE329F">
        <w:rPr>
          <w:b/>
        </w:rPr>
        <w:t xml:space="preserve">dana ne poluči sniženje NRS za </w:t>
      </w:r>
      <w:r w:rsidRPr="005F7258">
        <w:rPr>
          <w:b/>
        </w:rPr>
        <w:t>30%.</w:t>
      </w:r>
    </w:p>
    <w:p w:rsidR="005F7258" w:rsidRPr="005F7258" w:rsidRDefault="005F7258" w:rsidP="00711BA7">
      <w:pPr>
        <w:jc w:val="both"/>
        <w:rPr>
          <w:b/>
        </w:rPr>
      </w:pPr>
    </w:p>
    <w:p w:rsidR="00753703" w:rsidRPr="00A20F56" w:rsidRDefault="00753703" w:rsidP="00711BA7">
      <w:pPr>
        <w:jc w:val="both"/>
        <w:rPr>
          <w:b/>
        </w:rPr>
      </w:pPr>
      <w:r w:rsidRPr="00A20F56">
        <w:rPr>
          <w:b/>
        </w:rPr>
        <w:t>Faza održavanja</w:t>
      </w:r>
    </w:p>
    <w:p w:rsidR="00753703" w:rsidRDefault="00753703" w:rsidP="00711BA7">
      <w:pPr>
        <w:jc w:val="both"/>
      </w:pPr>
      <w:r>
        <w:t>Ako se tijekom titracije postigne doza unutar okvira najviše preporučene dnevne doze, koja se dobro podnosi i uz koju je zabilježeno sniženje NRS skora, tom se dozom nastavlja liječenje.</w:t>
      </w:r>
    </w:p>
    <w:p w:rsidR="00753703" w:rsidRDefault="00753703" w:rsidP="00711BA7">
      <w:pPr>
        <w:jc w:val="both"/>
      </w:pPr>
      <w:r>
        <w:t>Tijekom liječenja, svakih 4-5 tjedana treba ponavljati NRS skor.</w:t>
      </w:r>
    </w:p>
    <w:p w:rsidR="00753703" w:rsidRDefault="00753703" w:rsidP="00711BA7">
      <w:pPr>
        <w:jc w:val="both"/>
      </w:pPr>
      <w:r>
        <w:t>Ako je sniženje skora u odnosu na stanje prije liječenja &lt;30%, treba pokušati povisiti dozu, baš kao i u fazi titracije, za jednu stepenicu. Ako to nije moguće ili ako niti povišene doze (do maksimalne preporuče</w:t>
      </w:r>
      <w:r w:rsidR="00052139">
        <w:t xml:space="preserve">ne) ne daju sniženje NRS skora </w:t>
      </w:r>
      <w:r>
        <w:t>30%, odnosno ono iznosi &lt;30% u odnosu na početno stanje – liječenje treba prekinuti.</w:t>
      </w:r>
    </w:p>
    <w:p w:rsidR="00753703" w:rsidRDefault="00753703" w:rsidP="00711BA7">
      <w:pPr>
        <w:jc w:val="both"/>
      </w:pPr>
      <w:r>
        <w:t>Ako je bolesnik „probran“ s obzirom na podnošljivost tijekom faze titracije, malo je vjerojatno da će se tijekom liječenja javiti neželjeni učinci jačeg intenziteta.</w:t>
      </w:r>
    </w:p>
    <w:p w:rsidR="00753703" w:rsidRDefault="00753703" w:rsidP="00711BA7">
      <w:pPr>
        <w:jc w:val="both"/>
      </w:pPr>
      <w:r>
        <w:t>Ukoliko se jave – dozu treba sniziti za jednu stepenicu (ili više, nakon nekoliko dana, ako smetnje traju) – te zatim nakon 4-5 t</w:t>
      </w:r>
      <w:r w:rsidR="005F7258">
        <w:t>jedana ponoviti NRS evaluaciju.</w:t>
      </w:r>
    </w:p>
    <w:p w:rsidR="005F7258" w:rsidRDefault="00753703" w:rsidP="00711BA7">
      <w:pPr>
        <w:jc w:val="both"/>
      </w:pPr>
      <w:r>
        <w:t>Odluka o nastavku li</w:t>
      </w:r>
      <w:r w:rsidR="00A96BF8">
        <w:t>ječenja ovisi o: podnošljivosti i</w:t>
      </w:r>
      <w:r>
        <w:t xml:space="preserve"> NRS promjeni u odnosu na početno stanje</w:t>
      </w:r>
      <w:r w:rsidR="00A96BF8">
        <w:t>.</w:t>
      </w:r>
    </w:p>
    <w:p w:rsidR="003F3F91" w:rsidRDefault="003F3F91" w:rsidP="00711BA7">
      <w:pPr>
        <w:jc w:val="both"/>
      </w:pPr>
    </w:p>
    <w:p w:rsidR="00753703" w:rsidRDefault="00753703" w:rsidP="00711BA7">
      <w:pPr>
        <w:jc w:val="both"/>
      </w:pPr>
      <w:r>
        <w:t>Nema preporuke o duljini liječenja. Najdulje liječenje s prednošću spram placeba u kliničkim studijama iznosilo je oko 3-4 mjeseca.</w:t>
      </w:r>
    </w:p>
    <w:p w:rsidR="005F7258" w:rsidRDefault="00753703" w:rsidP="003F3F91">
      <w:pPr>
        <w:jc w:val="both"/>
      </w:pPr>
      <w:r>
        <w:t>Stoga se trajanje liječenja određuje individualno, ovisno o već navedenim čimbenicima.</w:t>
      </w:r>
    </w:p>
    <w:p w:rsidR="005F7258" w:rsidRDefault="005F7258" w:rsidP="00753703"/>
    <w:p w:rsidR="005F7258" w:rsidRDefault="00753703" w:rsidP="00753703">
      <w:pPr>
        <w:rPr>
          <w:b/>
          <w:sz w:val="16"/>
          <w:szCs w:val="16"/>
        </w:rPr>
      </w:pPr>
      <w:r w:rsidRPr="00A20F56">
        <w:rPr>
          <w:b/>
          <w:sz w:val="28"/>
          <w:szCs w:val="28"/>
        </w:rPr>
        <w:t>3. Doziranje u bolesnika s malignim bolestima</w:t>
      </w:r>
    </w:p>
    <w:p w:rsidR="005F7258" w:rsidRPr="005F7258" w:rsidRDefault="005F7258" w:rsidP="00753703">
      <w:pPr>
        <w:rPr>
          <w:b/>
          <w:sz w:val="16"/>
          <w:szCs w:val="16"/>
        </w:rPr>
      </w:pPr>
    </w:p>
    <w:p w:rsidR="00753703" w:rsidRPr="003F3F91" w:rsidRDefault="00753703" w:rsidP="002D315E">
      <w:pPr>
        <w:jc w:val="both"/>
        <w:rPr>
          <w:b/>
          <w:sz w:val="24"/>
          <w:szCs w:val="24"/>
        </w:rPr>
      </w:pPr>
      <w:r w:rsidRPr="003F3F91">
        <w:rPr>
          <w:b/>
          <w:sz w:val="24"/>
          <w:szCs w:val="24"/>
        </w:rPr>
        <w:t>3.1. Ublažavanje boli u bolesnika na najvišoj podnošljivoj dozi opijata</w:t>
      </w:r>
    </w:p>
    <w:p w:rsidR="00753703" w:rsidRDefault="00753703" w:rsidP="002D315E">
      <w:pPr>
        <w:jc w:val="both"/>
      </w:pPr>
      <w:r>
        <w:t>Preporuka se odnosi samo na situaciju u kojoj bolesnici primaju standardnu analgetsku terapiju koja uključuje i opijate, te unatoč najvišoj podnošljivoj dozi opijata još uvijek t</w:t>
      </w:r>
      <w:r w:rsidR="003F3F91">
        <w:t xml:space="preserve">rpe umjerenu do tešku bol (NRS </w:t>
      </w:r>
      <w:r>
        <w:t>4, na skali 0-10), a THC/CBD pripravak dodaje se kao „add-on“ terapija.</w:t>
      </w:r>
    </w:p>
    <w:p w:rsidR="00753703" w:rsidRDefault="00753703" w:rsidP="002D315E">
      <w:pPr>
        <w:jc w:val="both"/>
      </w:pPr>
      <w:r>
        <w:t>Nije poznato i nemoguće je preporučiti doze u svrhu ublažavanja bolova u drugim situacijama.</w:t>
      </w:r>
    </w:p>
    <w:p w:rsidR="00753703" w:rsidRDefault="00753703" w:rsidP="002D315E">
      <w:pPr>
        <w:jc w:val="both"/>
      </w:pPr>
      <w:r>
        <w:t xml:space="preserve">Pojedinačne doze </w:t>
      </w:r>
      <w:r w:rsidR="003F3F91">
        <w:t>daju</w:t>
      </w:r>
      <w:r>
        <w:t xml:space="preserve"> se tri puta dnevno u približnim razmacima od 8 sati.</w:t>
      </w:r>
    </w:p>
    <w:p w:rsidR="00753703" w:rsidRDefault="00753703" w:rsidP="002D315E">
      <w:pPr>
        <w:jc w:val="both"/>
        <w:rPr>
          <w:b/>
        </w:rPr>
      </w:pPr>
      <w:r w:rsidRPr="00A20F56">
        <w:rPr>
          <w:b/>
        </w:rPr>
        <w:t>Liječenje se sastoji od faze titracije doze i faze održavanja.</w:t>
      </w:r>
    </w:p>
    <w:p w:rsidR="00A20F56" w:rsidRPr="00A20F56" w:rsidRDefault="00A20F56" w:rsidP="002D315E">
      <w:pPr>
        <w:jc w:val="both"/>
        <w:rPr>
          <w:b/>
        </w:rPr>
      </w:pPr>
    </w:p>
    <w:p w:rsidR="00753703" w:rsidRPr="00A20F56" w:rsidRDefault="00753703" w:rsidP="002D315E">
      <w:pPr>
        <w:jc w:val="both"/>
        <w:rPr>
          <w:b/>
        </w:rPr>
      </w:pPr>
      <w:r w:rsidRPr="00A20F56">
        <w:rPr>
          <w:b/>
        </w:rPr>
        <w:t>Prije početka liječenja</w:t>
      </w:r>
    </w:p>
    <w:p w:rsidR="00753703" w:rsidRDefault="00753703" w:rsidP="002D315E">
      <w:pPr>
        <w:jc w:val="both"/>
      </w:pPr>
      <w:r>
        <w:t>Prije početka liječenja, potrebno je procijeniti stanje simptoma uporabom NRS.</w:t>
      </w:r>
    </w:p>
    <w:p w:rsidR="00753703" w:rsidRPr="00A20F56" w:rsidRDefault="00753703" w:rsidP="002D315E">
      <w:pPr>
        <w:jc w:val="both"/>
        <w:rPr>
          <w:b/>
        </w:rPr>
      </w:pPr>
      <w:r w:rsidRPr="00A20F56">
        <w:rPr>
          <w:b/>
        </w:rPr>
        <w:t>Faza titracije</w:t>
      </w:r>
    </w:p>
    <w:p w:rsidR="00753703" w:rsidRDefault="00753703" w:rsidP="002D315E">
      <w:pPr>
        <w:jc w:val="both"/>
      </w:pPr>
      <w:r>
        <w:t>S obzirom na specifičnost indikacije, faza titracije („traženje“ doze koja se još uvijek dobro podnosi i ostvaruje analgetski učinak) ne bi treba</w:t>
      </w:r>
      <w:r w:rsidR="005F7258">
        <w:t>la trajati dulje od 10-14 dana.</w:t>
      </w:r>
    </w:p>
    <w:p w:rsidR="00753703" w:rsidRDefault="00753703" w:rsidP="002D315E">
      <w:pPr>
        <w:jc w:val="both"/>
      </w:pPr>
      <w:r>
        <w:t>Svako povećanje doze iznosi 3 x 2.5</w:t>
      </w:r>
      <w:r w:rsidR="00F80DF4">
        <w:t xml:space="preserve"> mg</w:t>
      </w:r>
      <w:r>
        <w:t xml:space="preserve">/dan (npr. s 3 x 2.5 </w:t>
      </w:r>
      <w:r w:rsidR="00F80DF4">
        <w:t xml:space="preserve">mg </w:t>
      </w:r>
      <w:r>
        <w:t>na 3 x 5.0</w:t>
      </w:r>
      <w:r w:rsidR="00F80DF4">
        <w:t xml:space="preserve"> mg</w:t>
      </w:r>
      <w:r>
        <w:t xml:space="preserve">; ili s 3 x 5.0 </w:t>
      </w:r>
      <w:r w:rsidR="00F80DF4">
        <w:t xml:space="preserve">mg </w:t>
      </w:r>
      <w:r>
        <w:t>na 3 x 7.5</w:t>
      </w:r>
      <w:r w:rsidR="00F80DF4">
        <w:t xml:space="preserve"> mg</w:t>
      </w:r>
      <w:r w:rsidR="003F3F91">
        <w:t>).</w:t>
      </w:r>
    </w:p>
    <w:p w:rsidR="00753703" w:rsidRDefault="00753703" w:rsidP="002D315E">
      <w:pPr>
        <w:jc w:val="both"/>
      </w:pPr>
      <w:r w:rsidRPr="00F80DF4">
        <w:rPr>
          <w:b/>
        </w:rPr>
        <w:t>Prva, početna doza</w:t>
      </w:r>
      <w:r>
        <w:t xml:space="preserve"> iznosi 3 x 2.5</w:t>
      </w:r>
      <w:r w:rsidR="00F80DF4">
        <w:t xml:space="preserve"> mg</w:t>
      </w:r>
      <w:r>
        <w:t>/dan.</w:t>
      </w:r>
    </w:p>
    <w:p w:rsidR="00753703" w:rsidRDefault="00753703" w:rsidP="002D315E">
      <w:pPr>
        <w:jc w:val="both"/>
      </w:pPr>
      <w:r>
        <w:t>Ukoliko se dobro podnosi, tu dozu treba ponoviti tijekom iduća 2 dana, a zatim slijedi povećanje doze za 3 x 2.5</w:t>
      </w:r>
      <w:r w:rsidR="00F80DF4">
        <w:t xml:space="preserve"> mg</w:t>
      </w:r>
      <w:r>
        <w:t>/dan, tj. na 3 x 5.0</w:t>
      </w:r>
      <w:r w:rsidR="00F80DF4">
        <w:t xml:space="preserve"> mg</w:t>
      </w:r>
      <w:r>
        <w:t>/dan.</w:t>
      </w:r>
    </w:p>
    <w:p w:rsidR="00753703" w:rsidRDefault="00753703" w:rsidP="002D315E">
      <w:pPr>
        <w:jc w:val="both"/>
      </w:pPr>
      <w:r>
        <w:t>Ukoliko uz tu početnu dozu postoje tegobe koje nisu previše izražene, dozu treba ponavljati tijekom idućih 4-5 dana jer postoji mogućnost da će se tegobe povući.</w:t>
      </w:r>
    </w:p>
    <w:p w:rsidR="00753703" w:rsidRDefault="00753703" w:rsidP="002D315E">
      <w:pPr>
        <w:jc w:val="both"/>
      </w:pPr>
      <w:r>
        <w:t>Ukoliko su tegobe previše izražene – odustaje se od liječenja.</w:t>
      </w:r>
    </w:p>
    <w:p w:rsidR="00753703" w:rsidRDefault="00F80DF4" w:rsidP="002D315E">
      <w:pPr>
        <w:jc w:val="both"/>
      </w:pPr>
      <w:r w:rsidRPr="00F80DF4">
        <w:rPr>
          <w:b/>
        </w:rPr>
        <w:t>Sl</w:t>
      </w:r>
      <w:r w:rsidR="00753703" w:rsidRPr="00F80DF4">
        <w:rPr>
          <w:b/>
        </w:rPr>
        <w:t>jedeća doza</w:t>
      </w:r>
      <w:r w:rsidR="00753703">
        <w:t xml:space="preserve"> iznosi 3 x 5.0</w:t>
      </w:r>
      <w:r>
        <w:t xml:space="preserve"> mg</w:t>
      </w:r>
      <w:r w:rsidR="00753703">
        <w:t>/dan.</w:t>
      </w:r>
    </w:p>
    <w:p w:rsidR="00753703" w:rsidRDefault="00753703" w:rsidP="002D315E">
      <w:pPr>
        <w:jc w:val="both"/>
      </w:pPr>
      <w:r>
        <w:lastRenderedPageBreak/>
        <w:t>Ukoliko se dobro podnosi, tu dozu treba ponoviti tijekom iduća 2 dana, a zatim slijedi povećanje doze za 3 x 2.5</w:t>
      </w:r>
      <w:r w:rsidR="00F80DF4">
        <w:t xml:space="preserve"> mg</w:t>
      </w:r>
      <w:r>
        <w:t>/dan, tj. na 3 x 7.5</w:t>
      </w:r>
      <w:r w:rsidR="00F80DF4">
        <w:t xml:space="preserve"> mg</w:t>
      </w:r>
      <w:r>
        <w:t>/dan.</w:t>
      </w:r>
    </w:p>
    <w:p w:rsidR="00753703" w:rsidRDefault="00753703" w:rsidP="002D315E">
      <w:pPr>
        <w:jc w:val="both"/>
      </w:pPr>
      <w:r>
        <w:t>Ukoliko uz tu dozu postoje tegobe koje nisu previše izražene, dozu treba ponavljati tijekom idućih 4-5 dana jer postoji mogućnost da će se tegobe povući.</w:t>
      </w:r>
    </w:p>
    <w:p w:rsidR="00753703" w:rsidRDefault="00753703" w:rsidP="002D315E">
      <w:pPr>
        <w:jc w:val="both"/>
      </w:pPr>
      <w:r>
        <w:t>Ukoliko su tegobe previše izražene – odustaje se od liječenja, ili se doza snizi za jednu stepenicu.</w:t>
      </w:r>
    </w:p>
    <w:p w:rsidR="00753703" w:rsidRDefault="00753703" w:rsidP="002D315E">
      <w:pPr>
        <w:jc w:val="both"/>
      </w:pPr>
      <w:r>
        <w:t>Na taj način, postupnim povećanjem za 3 x 2.5</w:t>
      </w:r>
      <w:r w:rsidR="00F80DF4">
        <w:t xml:space="preserve"> mg</w:t>
      </w:r>
      <w:r>
        <w:t>/dan ili eventualnim sniženjem ako su smetnje previše izražene, dostigne se najviša doza koja se još uvijek podnosi bez većih tegoba.</w:t>
      </w:r>
    </w:p>
    <w:p w:rsidR="00753703" w:rsidRPr="00F80DF4" w:rsidRDefault="00753703" w:rsidP="002D315E">
      <w:pPr>
        <w:jc w:val="both"/>
        <w:rPr>
          <w:b/>
        </w:rPr>
      </w:pPr>
      <w:r w:rsidRPr="00F80DF4">
        <w:rPr>
          <w:b/>
        </w:rPr>
        <w:t xml:space="preserve">Ta doza </w:t>
      </w:r>
      <w:r w:rsidR="00A96BF8" w:rsidRPr="003F3F91">
        <w:rPr>
          <w:b/>
        </w:rPr>
        <w:t>ne bi trebala</w:t>
      </w:r>
      <w:r w:rsidRPr="003F3F91">
        <w:rPr>
          <w:b/>
        </w:rPr>
        <w:t xml:space="preserve"> </w:t>
      </w:r>
      <w:r w:rsidRPr="00F80DF4">
        <w:rPr>
          <w:b/>
        </w:rPr>
        <w:t>prijeći 37.5 mg THC/37.5 mg CBD dnevno (3 x 12.5</w:t>
      </w:r>
      <w:r w:rsidR="00F80DF4">
        <w:rPr>
          <w:b/>
        </w:rPr>
        <w:t xml:space="preserve"> mg</w:t>
      </w:r>
      <w:r w:rsidRPr="00F80DF4">
        <w:rPr>
          <w:b/>
        </w:rPr>
        <w:t>/dan).</w:t>
      </w:r>
    </w:p>
    <w:p w:rsidR="00A96BF8" w:rsidRPr="003F3F91" w:rsidRDefault="00A96BF8" w:rsidP="00A96BF8">
      <w:pPr>
        <w:jc w:val="both"/>
      </w:pPr>
      <w:r w:rsidRPr="003F3F91">
        <w:t>Ova se preporuka temelji na rezultatima randomiziranih kliničkih pokusa u kojima su pripravci slični pripravku Tilray korišteni s povoljnim odnosom koristi i štete u većine ispitanika. Moguće je da pojedini bolesnici mogu trebati i mogu dobro podnositi i doze VIŠE od navedenih, no u ovoj indikaciji titracija doze je razmjerno brza (unutar 10-14 dana), a pripravak se izvjesno primjenjuje u kombinaciji s opioidnim analgetikom (depresorom središnjeg živčanog sustava) – stoga je u takvim okolnostima posebno važan blizak nadzor nad bolesnikom (poremećaji stanja svijesti/tijeka misli</w:t>
      </w:r>
      <w:r w:rsidR="008A47C5" w:rsidRPr="003F3F91">
        <w:t>).</w:t>
      </w:r>
    </w:p>
    <w:p w:rsidR="00A96BF8" w:rsidRDefault="00A96BF8" w:rsidP="002D315E">
      <w:pPr>
        <w:jc w:val="both"/>
      </w:pPr>
    </w:p>
    <w:p w:rsidR="00753703" w:rsidRPr="00F80DF4" w:rsidRDefault="00753703" w:rsidP="002D315E">
      <w:pPr>
        <w:jc w:val="both"/>
        <w:rPr>
          <w:b/>
        </w:rPr>
      </w:pPr>
      <w:r>
        <w:t>Kriterij po kojem se procjenjuje ima li primijenjena doza relevantan analgetski učinak je</w:t>
      </w:r>
      <w:r w:rsidR="003F3F91">
        <w:t xml:space="preserve">st sniženje NRS skora </w:t>
      </w:r>
      <w:r>
        <w:t xml:space="preserve">25% u odnosu na početnu vrijednost. </w:t>
      </w:r>
      <w:r w:rsidRPr="00F80DF4">
        <w:rPr>
          <w:b/>
        </w:rPr>
        <w:t>Ako najviša podnošljiva doza ne zadovoljava taj kriterij, može se smatrati da nema učinka.</w:t>
      </w:r>
    </w:p>
    <w:p w:rsidR="00753703" w:rsidRDefault="00753703" w:rsidP="002D315E">
      <w:pPr>
        <w:jc w:val="both"/>
        <w:rPr>
          <w:b/>
        </w:rPr>
      </w:pPr>
      <w:r w:rsidRPr="00F80DF4">
        <w:rPr>
          <w:b/>
        </w:rPr>
        <w:t>Od liječenja treba odustati ako bilo koja najviša do</w:t>
      </w:r>
      <w:r w:rsidR="003F3F91">
        <w:rPr>
          <w:b/>
        </w:rPr>
        <w:t>za koja se podnosi tijekom prva</w:t>
      </w:r>
      <w:r w:rsidRPr="00F80DF4">
        <w:rPr>
          <w:b/>
        </w:rPr>
        <w:t xml:space="preserve"> 2 tje</w:t>
      </w:r>
      <w:r w:rsidR="003F3F91">
        <w:rPr>
          <w:b/>
        </w:rPr>
        <w:t xml:space="preserve">dana ne poluči sniženje NRS za </w:t>
      </w:r>
      <w:r w:rsidRPr="00F80DF4">
        <w:rPr>
          <w:b/>
        </w:rPr>
        <w:t>25%.</w:t>
      </w:r>
    </w:p>
    <w:p w:rsidR="005F7258" w:rsidRPr="00F80DF4" w:rsidRDefault="005F7258" w:rsidP="002D315E">
      <w:pPr>
        <w:jc w:val="both"/>
        <w:rPr>
          <w:b/>
        </w:rPr>
      </w:pPr>
    </w:p>
    <w:p w:rsidR="00753703" w:rsidRPr="00F80DF4" w:rsidRDefault="00753703" w:rsidP="002D315E">
      <w:pPr>
        <w:jc w:val="both"/>
        <w:rPr>
          <w:b/>
        </w:rPr>
      </w:pPr>
      <w:r w:rsidRPr="00F80DF4">
        <w:rPr>
          <w:b/>
        </w:rPr>
        <w:t>Faza održavanja</w:t>
      </w:r>
    </w:p>
    <w:p w:rsidR="00753703" w:rsidRDefault="00753703" w:rsidP="002D315E">
      <w:pPr>
        <w:jc w:val="both"/>
      </w:pPr>
      <w:r>
        <w:t>Ako se tijekom titracije postigne doza unutar okvira najviše preporučene dnevne doze, koja se dobro podnosi i uz koju je zabilježeno sniženje NRS skora, tom se dozom nastavlja liječenje.</w:t>
      </w:r>
    </w:p>
    <w:p w:rsidR="00753703" w:rsidRDefault="00753703" w:rsidP="002D315E">
      <w:pPr>
        <w:jc w:val="both"/>
      </w:pPr>
      <w:r>
        <w:lastRenderedPageBreak/>
        <w:t>Tijekom liječenja, svakih 1-2 tje</w:t>
      </w:r>
      <w:r w:rsidR="00BC7C0A">
        <w:t>dna</w:t>
      </w:r>
      <w:r w:rsidR="005F7258">
        <w:t xml:space="preserve"> treba ponavljati NRS skor.</w:t>
      </w:r>
    </w:p>
    <w:p w:rsidR="00753703" w:rsidRDefault="00753703" w:rsidP="002D315E">
      <w:pPr>
        <w:jc w:val="both"/>
      </w:pPr>
      <w:r>
        <w:t xml:space="preserve">Ako je sniženje skora u odnosu na stanje prije liječenja &lt;25%, treba pokušati povisiti dozu, baš kao i u fazi titracije, za jednu stepenicu. Ako to nije moguće, ili ako niti povišene doze </w:t>
      </w:r>
      <w:r w:rsidR="00BC7C0A">
        <w:t xml:space="preserve">ne daju sniženje NRS skora </w:t>
      </w:r>
      <w:r>
        <w:t>25%, odnosno ono iznosi &lt;25% u odnosu na početno stanje – liječenje treba prekinuti.</w:t>
      </w:r>
    </w:p>
    <w:p w:rsidR="00753703" w:rsidRDefault="00753703" w:rsidP="002D315E">
      <w:pPr>
        <w:jc w:val="both"/>
      </w:pPr>
      <w:r>
        <w:t>Ako je bolesnik „probran“ s obzirom na podnošljivost tijekom faze titracije, malo je vjerojatno da će se tijekom liječenja javiti neželjeni učinci jačeg intenziteta.</w:t>
      </w:r>
    </w:p>
    <w:p w:rsidR="00753703" w:rsidRDefault="00753703" w:rsidP="002D315E">
      <w:pPr>
        <w:jc w:val="both"/>
      </w:pPr>
      <w:r>
        <w:t>Ukoliko se jave – dozu treba sniziti za jednu stepenicu (ili više, nakon nekoliko dana, ako smetnje traju) – te zatim uz nju ponoviti NRS evaluaciju.</w:t>
      </w:r>
    </w:p>
    <w:p w:rsidR="00753703" w:rsidRDefault="00753703" w:rsidP="002D315E">
      <w:pPr>
        <w:jc w:val="both"/>
      </w:pPr>
      <w:r>
        <w:t>Odluka o nastavku liječenja ovisi o: podnošljivosti</w:t>
      </w:r>
      <w:r w:rsidR="008A47C5">
        <w:t xml:space="preserve"> i</w:t>
      </w:r>
      <w:r>
        <w:t xml:space="preserve"> NRS promjeni u odnosu na početno </w:t>
      </w:r>
      <w:r w:rsidRPr="00BC7C0A">
        <w:t>stanje</w:t>
      </w:r>
      <w:r w:rsidR="007D0D9D">
        <w:t xml:space="preserve">. </w:t>
      </w:r>
      <w:r>
        <w:t>Nema preporuke o duljini liječenja. Najdulje liječenje s prednošću spram placeba u kliničkim studijama iznosilo je oko 35 dana.</w:t>
      </w:r>
    </w:p>
    <w:p w:rsidR="00753703" w:rsidRDefault="00753703" w:rsidP="002D315E">
      <w:pPr>
        <w:jc w:val="both"/>
      </w:pPr>
      <w:r>
        <w:t>Stoga se trajanje liječenja određuje individualno, ovisno o već navedenim čimbenicima.</w:t>
      </w:r>
    </w:p>
    <w:p w:rsidR="00F80DF4" w:rsidRDefault="00F80DF4" w:rsidP="002D315E">
      <w:pPr>
        <w:jc w:val="both"/>
      </w:pPr>
    </w:p>
    <w:p w:rsidR="00F80DF4" w:rsidRPr="005F7258" w:rsidRDefault="00753703" w:rsidP="002D315E">
      <w:pPr>
        <w:jc w:val="both"/>
        <w:rPr>
          <w:b/>
          <w:sz w:val="24"/>
          <w:szCs w:val="24"/>
        </w:rPr>
      </w:pPr>
      <w:r w:rsidRPr="005F7258">
        <w:rPr>
          <w:b/>
          <w:sz w:val="24"/>
          <w:szCs w:val="24"/>
        </w:rPr>
        <w:t>3.2. Ublažavanje kemotarapijom potaknute mučnine i povraćanja (CINV)</w:t>
      </w:r>
    </w:p>
    <w:p w:rsidR="00753703" w:rsidRDefault="00753703" w:rsidP="002D315E">
      <w:pPr>
        <w:jc w:val="both"/>
      </w:pPr>
      <w:r>
        <w:t>Preporuka se odnosi samo na situaciju u kojoj bolesnici primaju standardnu „jaku“ anti-CINV terapiju koja uključuje 1 ili 2 različita antagonista 5-HT3 receptora, i to prije terapije i.v. ili p.o. te p.o. do 2 dana nakon kemoterapije, kombinirano s deksametazonom i.v. prije i p.o. do 2 dana nakon kemoterapije, te unatoč tome imaju izražene akutne i odgođene tegobe, a THC/CBD preparat dodaje se kao „add-on“ terapija.</w:t>
      </w:r>
    </w:p>
    <w:p w:rsidR="00753703" w:rsidRDefault="00753703" w:rsidP="002D315E">
      <w:pPr>
        <w:jc w:val="both"/>
      </w:pPr>
      <w:r>
        <w:t>Nije poznato i nemoguće je preporučiti doze u svrhu ublažavanja tegoba u drugim situacijama.</w:t>
      </w:r>
    </w:p>
    <w:p w:rsidR="00753703" w:rsidRDefault="00753703" w:rsidP="002D315E">
      <w:pPr>
        <w:jc w:val="both"/>
      </w:pPr>
      <w:r>
        <w:t>Pojedinačna doza koja se primjenjuje iznosi 2.5 mg THC/2.5 mg CBD.</w:t>
      </w:r>
    </w:p>
    <w:p w:rsidR="00753703" w:rsidRDefault="00753703" w:rsidP="002D315E">
      <w:pPr>
        <w:jc w:val="both"/>
      </w:pPr>
      <w:r>
        <w:t>Preporučeno je doziranje:</w:t>
      </w:r>
    </w:p>
    <w:p w:rsidR="00753703" w:rsidRDefault="00753703" w:rsidP="007D0D9D">
      <w:pPr>
        <w:pStyle w:val="Odlomakpopisa"/>
        <w:numPr>
          <w:ilvl w:val="0"/>
          <w:numId w:val="3"/>
        </w:numPr>
        <w:jc w:val="both"/>
      </w:pPr>
      <w:r>
        <w:t xml:space="preserve">1 </w:t>
      </w:r>
      <w:r w:rsidR="00BA524A" w:rsidRPr="007D0D9D">
        <w:t>doza</w:t>
      </w:r>
      <w:r w:rsidR="00BA524A">
        <w:t xml:space="preserve"> </w:t>
      </w:r>
      <w:r>
        <w:t xml:space="preserve"> 2.5 mg 2 sata prije početka kemoterapije. Ukoliko se unutar 45 minuta od primjene jave smetnje koje bolesnik ne podnosi, odustaje se od primjene.</w:t>
      </w:r>
    </w:p>
    <w:p w:rsidR="00753703" w:rsidRDefault="00753703" w:rsidP="007D0D9D">
      <w:pPr>
        <w:pStyle w:val="Odlomakpopisa"/>
        <w:numPr>
          <w:ilvl w:val="0"/>
          <w:numId w:val="3"/>
        </w:numPr>
        <w:jc w:val="both"/>
      </w:pPr>
      <w:r>
        <w:lastRenderedPageBreak/>
        <w:t xml:space="preserve">Ukoliko nakon prve </w:t>
      </w:r>
      <w:r w:rsidR="001058B0" w:rsidRPr="007D0D9D">
        <w:t xml:space="preserve">doze </w:t>
      </w:r>
      <w:r>
        <w:t xml:space="preserve">nije bilo značajnijih tegoba, </w:t>
      </w:r>
      <w:r w:rsidR="001058B0" w:rsidRPr="007D0D9D">
        <w:t>nakon</w:t>
      </w:r>
      <w:r w:rsidR="001058B0" w:rsidRPr="007D0D9D">
        <w:rPr>
          <w:b/>
        </w:rPr>
        <w:t xml:space="preserve"> </w:t>
      </w:r>
      <w:r>
        <w:t>45 minuta ponavlja se ista doza od 2.5 mg. Ukoliko se unutar 45 minuta od primjene jave smetnje koje bolesnik ne podnosi, odustaje se od primjene.</w:t>
      </w:r>
    </w:p>
    <w:p w:rsidR="00753703" w:rsidRDefault="00753703" w:rsidP="007D0D9D">
      <w:pPr>
        <w:pStyle w:val="Odlomakpopisa"/>
        <w:numPr>
          <w:ilvl w:val="0"/>
          <w:numId w:val="3"/>
        </w:numPr>
        <w:jc w:val="both"/>
      </w:pPr>
      <w:r>
        <w:t xml:space="preserve">Ukoliko nakon druge </w:t>
      </w:r>
      <w:r w:rsidR="003F3F77" w:rsidRPr="007D0D9D">
        <w:t xml:space="preserve">doze </w:t>
      </w:r>
      <w:r>
        <w:t xml:space="preserve">nije bilo značajnijih tegoba, 45 minuta kasnije (1.5 sat nakon prve </w:t>
      </w:r>
      <w:r w:rsidR="003F3F77" w:rsidRPr="007D0D9D">
        <w:t xml:space="preserve">doze </w:t>
      </w:r>
      <w:r>
        <w:t>a oko 30 minuta prije početka kemoterapije) – ponavlja se ista doza od 2.5 mg.</w:t>
      </w:r>
    </w:p>
    <w:p w:rsidR="00753703" w:rsidRDefault="00753703" w:rsidP="002D315E">
      <w:pPr>
        <w:jc w:val="both"/>
      </w:pPr>
      <w:r>
        <w:t xml:space="preserve">Ukupno, tijekom 1.5 sat prije kemoterapije </w:t>
      </w:r>
      <w:r w:rsidR="003F3F77" w:rsidRPr="007D0D9D">
        <w:t xml:space="preserve">daje </w:t>
      </w:r>
      <w:r>
        <w:t>se 3 x 2.5 mg (ukupno 7.5 mg THC/7.5 mg CBD).</w:t>
      </w:r>
    </w:p>
    <w:p w:rsidR="00753703" w:rsidRDefault="00753703" w:rsidP="002D315E">
      <w:pPr>
        <w:jc w:val="both"/>
      </w:pPr>
      <w:r>
        <w:t>Ukoliko ova primjena prije kemoterapije nije uzrokovala tegobe koje bolesnik ne može podnijeti, nastavlja se daljnja terapija do 4 dana nakon kemoterapije. Preporučena je doza 6 x 2.5 mg tijekom 24 sata (15 mg THC/15 mg CBD tijekom 24 sata). Ukoliko su tegobe CINV blaže nego inače, doza se može smanjiti na 4 x 2.5 mg tijekom 24 sata.</w:t>
      </w:r>
    </w:p>
    <w:p w:rsidR="002E22CC" w:rsidRDefault="00753703" w:rsidP="002D315E">
      <w:pPr>
        <w:jc w:val="both"/>
      </w:pPr>
      <w:r>
        <w:t>Ukoliko u ciklusu kemoterapije u kojem je primijenjen THC/CBD pripravak nije postignuto ublažavanje CINV, ili ako su se tijekom 4 dana primjene javile tegobe koje bolesnik ne podnosi – odustaje se od daljnje primjene (u idućim ciklusima kemoterapije</w:t>
      </w:r>
      <w:r w:rsidR="006E6120">
        <w:t>)</w:t>
      </w:r>
      <w:r w:rsidR="007D0D9D">
        <w:t>.</w:t>
      </w:r>
    </w:p>
    <w:sectPr w:rsidR="002E22CC" w:rsidSect="00582410">
      <w:headerReference w:type="default" r:id="rId9"/>
      <w:pgSz w:w="11906" w:h="16838" w:code="9"/>
      <w:pgMar w:top="1418" w:right="1418" w:bottom="1418" w:left="1418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0B" w:rsidRDefault="0012100B" w:rsidP="00943D77">
      <w:pPr>
        <w:spacing w:after="0" w:line="240" w:lineRule="auto"/>
      </w:pPr>
      <w:r>
        <w:separator/>
      </w:r>
    </w:p>
  </w:endnote>
  <w:endnote w:type="continuationSeparator" w:id="0">
    <w:p w:rsidR="0012100B" w:rsidRDefault="0012100B" w:rsidP="0094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0B" w:rsidRDefault="0012100B" w:rsidP="00943D77">
      <w:pPr>
        <w:spacing w:after="0" w:line="240" w:lineRule="auto"/>
      </w:pPr>
      <w:r>
        <w:separator/>
      </w:r>
    </w:p>
  </w:footnote>
  <w:footnote w:type="continuationSeparator" w:id="0">
    <w:p w:rsidR="0012100B" w:rsidRDefault="0012100B" w:rsidP="0094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481569"/>
      <w:docPartObj>
        <w:docPartGallery w:val="Page Numbers (Top of Page)"/>
        <w:docPartUnique/>
      </w:docPartObj>
    </w:sdtPr>
    <w:sdtEndPr/>
    <w:sdtContent>
      <w:p w:rsidR="00943D77" w:rsidRDefault="00943D77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BE5">
          <w:rPr>
            <w:noProof/>
          </w:rPr>
          <w:t>2</w:t>
        </w:r>
        <w:r>
          <w:fldChar w:fldCharType="end"/>
        </w:r>
      </w:p>
    </w:sdtContent>
  </w:sdt>
  <w:p w:rsidR="00943D77" w:rsidRDefault="00943D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2797"/>
    <w:multiLevelType w:val="hybridMultilevel"/>
    <w:tmpl w:val="72B2B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EEA"/>
    <w:multiLevelType w:val="hybridMultilevel"/>
    <w:tmpl w:val="8B385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500B1"/>
    <w:multiLevelType w:val="hybridMultilevel"/>
    <w:tmpl w:val="7E16A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3"/>
    <w:rsid w:val="00043955"/>
    <w:rsid w:val="00052139"/>
    <w:rsid w:val="000F2F9D"/>
    <w:rsid w:val="001058B0"/>
    <w:rsid w:val="0012100B"/>
    <w:rsid w:val="00122B32"/>
    <w:rsid w:val="00145AC3"/>
    <w:rsid w:val="00174060"/>
    <w:rsid w:val="002A5578"/>
    <w:rsid w:val="002D315E"/>
    <w:rsid w:val="002E22CC"/>
    <w:rsid w:val="002F2432"/>
    <w:rsid w:val="003D7643"/>
    <w:rsid w:val="003F3F77"/>
    <w:rsid w:val="003F3F91"/>
    <w:rsid w:val="00490471"/>
    <w:rsid w:val="0053200D"/>
    <w:rsid w:val="00557038"/>
    <w:rsid w:val="00582410"/>
    <w:rsid w:val="005E76AE"/>
    <w:rsid w:val="005F7258"/>
    <w:rsid w:val="00654FDC"/>
    <w:rsid w:val="00682BE5"/>
    <w:rsid w:val="006E6120"/>
    <w:rsid w:val="00711BA7"/>
    <w:rsid w:val="00753703"/>
    <w:rsid w:val="007D0D9D"/>
    <w:rsid w:val="007E6DD1"/>
    <w:rsid w:val="00887938"/>
    <w:rsid w:val="008A47C5"/>
    <w:rsid w:val="00943D77"/>
    <w:rsid w:val="00A03C3B"/>
    <w:rsid w:val="00A20F56"/>
    <w:rsid w:val="00A2613E"/>
    <w:rsid w:val="00A85447"/>
    <w:rsid w:val="00A96BF8"/>
    <w:rsid w:val="00AE329F"/>
    <w:rsid w:val="00B80467"/>
    <w:rsid w:val="00BA524A"/>
    <w:rsid w:val="00BC7C0A"/>
    <w:rsid w:val="00C82691"/>
    <w:rsid w:val="00CC2BB0"/>
    <w:rsid w:val="00CF38CA"/>
    <w:rsid w:val="00D06691"/>
    <w:rsid w:val="00DF5236"/>
    <w:rsid w:val="00E10B3E"/>
    <w:rsid w:val="00E7195D"/>
    <w:rsid w:val="00F80DF4"/>
    <w:rsid w:val="00FA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5315F1-3D61-4EBB-8C46-EA304C25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82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43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7195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4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3D77"/>
  </w:style>
  <w:style w:type="paragraph" w:styleId="Podnoje">
    <w:name w:val="footer"/>
    <w:basedOn w:val="Normal"/>
    <w:link w:val="PodnojeChar"/>
    <w:uiPriority w:val="99"/>
    <w:unhideWhenUsed/>
    <w:rsid w:val="0094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3D77"/>
  </w:style>
  <w:style w:type="character" w:styleId="Hiperveza">
    <w:name w:val="Hyperlink"/>
    <w:basedOn w:val="Zadanifontodlomka"/>
    <w:uiPriority w:val="99"/>
    <w:unhideWhenUsed/>
    <w:rsid w:val="00E10B3E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58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582410"/>
    <w:pPr>
      <w:outlineLvl w:val="9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rkulja@mef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CDDB-4D87-406D-ABE2-7F246290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3100</Words>
  <Characters>17676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Katalinić Romana</dc:creator>
  <cp:lastModifiedBy>Katalinić Romana</cp:lastModifiedBy>
  <cp:revision>2</cp:revision>
  <cp:lastPrinted>2019-05-27T08:19:00Z</cp:lastPrinted>
  <dcterms:created xsi:type="dcterms:W3CDTF">2019-05-27T14:10:00Z</dcterms:created>
  <dcterms:modified xsi:type="dcterms:W3CDTF">2019-05-27T14:10:00Z</dcterms:modified>
</cp:coreProperties>
</file>